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</w:pPr>
      <w:r>
        <w:rPr>
          <w:rFonts w:ascii="Calibri" w:hAnsi="Calibri"/>
          <w:b/>
          <w:color w:val="B88A3B"/>
          <w:sz w:val="18"/>
        </w:rPr>
        <w:t>INSTITUTIONAL COOPERATION BRIEF</w:t>
      </w:r>
    </w:p>
    <w:p>
      <w:pPr>
        <w:pStyle w:val="Title"/>
      </w:pPr>
      <w:r>
        <w:t>Overseas Tutorial Centre Ltd</w:t>
      </w:r>
    </w:p>
    <w:p>
      <w:pPr>
        <w:pStyle w:val="Subtitle"/>
      </w:pPr>
      <w:r>
        <w:t>University Representative &amp; Application Support Capability Statement</w:t>
      </w:r>
    </w:p>
    <w:p>
      <w:pPr>
        <w:spacing w:before="0" w:after="40"/>
      </w:pPr>
      <w:r>
        <w:rPr>
          <w:rFonts w:ascii="Calibri" w:hAnsi="Calibri"/>
          <w:b/>
          <w:color w:val="061A2F"/>
          <w:sz w:val="21"/>
        </w:rPr>
        <w:t xml:space="preserve">Prepared for: </w:t>
      </w:r>
      <w:r>
        <w:rPr>
          <w:rFonts w:ascii="Calibri" w:hAnsi="Calibri"/>
          <w:color w:val="566070"/>
          <w:sz w:val="21"/>
        </w:rPr>
        <w:t>UK university admissions teams, international offices and partner managers</w:t>
      </w:r>
    </w:p>
    <w:p>
      <w:pPr>
        <w:spacing w:before="0" w:after="40"/>
      </w:pPr>
      <w:r>
        <w:rPr>
          <w:rFonts w:ascii="Calibri" w:hAnsi="Calibri"/>
          <w:b/>
          <w:color w:val="061A2F"/>
          <w:sz w:val="21"/>
        </w:rPr>
        <w:t xml:space="preserve">Date: </w:t>
      </w:r>
      <w:r>
        <w:rPr>
          <w:rFonts w:ascii="Calibri" w:hAnsi="Calibri"/>
          <w:color w:val="566070"/>
          <w:sz w:val="21"/>
        </w:rPr>
        <w:t>19 May 2026</w:t>
      </w:r>
    </w:p>
    <w:p>
      <w:pPr>
        <w:spacing w:before="0" w:after="40"/>
      </w:pPr>
      <w:r>
        <w:rPr>
          <w:rFonts w:ascii="Calibri" w:hAnsi="Calibri"/>
          <w:b/>
          <w:color w:val="061A2F"/>
          <w:sz w:val="21"/>
        </w:rPr>
        <w:t xml:space="preserve">Organisation: </w:t>
      </w:r>
      <w:r>
        <w:rPr>
          <w:rFonts w:ascii="Calibri" w:hAnsi="Calibri"/>
          <w:color w:val="566070"/>
          <w:sz w:val="21"/>
        </w:rPr>
        <w:t>Overseas Tutorial Centre Ltd, London, United Kingdom</w:t>
      </w:r>
    </w:p>
    <w:p>
      <w:pPr>
        <w:spacing w:before="0" w:after="40"/>
      </w:pPr>
      <w:r>
        <w:rPr>
          <w:rFonts w:ascii="Calibri" w:hAnsi="Calibri"/>
          <w:b/>
          <w:color w:val="061A2F"/>
          <w:sz w:val="21"/>
        </w:rPr>
        <w:t xml:space="preserve">Company No.: </w:t>
      </w:r>
      <w:r>
        <w:rPr>
          <w:rFonts w:ascii="Calibri" w:hAnsi="Calibri"/>
          <w:color w:val="566070"/>
          <w:sz w:val="21"/>
        </w:rPr>
        <w:t>11060519</w:t>
      </w:r>
    </w:p>
    <w:p>
      <w:pPr>
        <w:spacing w:before="0" w:after="40"/>
      </w:pPr>
      <w:r>
        <w:rPr>
          <w:rFonts w:ascii="Calibri" w:hAnsi="Calibri"/>
          <w:b/>
          <w:color w:val="061A2F"/>
          <w:sz w:val="21"/>
        </w:rPr>
        <w:t xml:space="preserve">Website: </w:t>
      </w:r>
      <w:r>
        <w:rPr>
          <w:rFonts w:ascii="Calibri" w:hAnsi="Calibri"/>
          <w:color w:val="566070"/>
          <w:sz w:val="21"/>
        </w:rPr>
        <w:t>https://overseasuk.com</w:t>
      </w:r>
    </w:p>
    <w:p>
      <w:pPr>
        <w:spacing w:before="0" w:after="40"/>
      </w:pPr>
      <w:r>
        <w:rPr>
          <w:rFonts w:ascii="Calibri" w:hAnsi="Calibri"/>
          <w:b/>
          <w:color w:val="061A2F"/>
          <w:sz w:val="21"/>
        </w:rPr>
        <w:t xml:space="preserve">Contact: </w:t>
      </w:r>
      <w:r>
        <w:rPr>
          <w:rFonts w:ascii="Calibri" w:hAnsi="Calibri"/>
          <w:color w:val="566070"/>
          <w:sz w:val="21"/>
        </w:rPr>
        <w:t>office@overseasuk.com | +44 7947 991572</w:t>
      </w:r>
    </w:p>
    <w:p>
      <w:pPr>
        <w:spacing w:before="240" w:after="200"/>
      </w:pPr>
      <w:r>
        <w:rPr>
          <w:rFonts w:ascii="Calibri" w:hAnsi="Calibri"/>
          <w:color w:val="142033"/>
          <w:sz w:val="23"/>
        </w:rPr>
        <w:t>OTC supports Chinese and international students with UK university application preparation, advanced-entry evidence, bilingual document organisation, admissions communication and education-route coordination. OTC is seeking appropriate formal representative arrangements with UK universities where institutional policies, training, data rules and admissions processes can be followed properly.</w:t>
      </w:r>
    </w:p>
    <w:p>
      <w:pPr>
        <w:pStyle w:val="Heading1"/>
      </w:pPr>
      <w:r>
        <w:t>1. Institutional Profile</w:t>
      </w:r>
    </w:p>
    <w:p>
      <w:pPr>
        <w:pStyle w:val="ListBullet"/>
        <w:spacing w:after="80"/>
      </w:pPr>
      <w:r>
        <w:rPr>
          <w:rFonts w:ascii="Calibri" w:hAnsi="Calibri"/>
          <w:color w:val="142033"/>
          <w:sz w:val="22"/>
        </w:rPr>
        <w:t>UK-based education consulting, tutoring, publishing and digital learning organisation.</w:t>
      </w:r>
    </w:p>
    <w:p>
      <w:pPr>
        <w:pStyle w:val="ListBullet"/>
        <w:spacing w:after="80"/>
      </w:pPr>
      <w:r>
        <w:rPr>
          <w:rFonts w:ascii="Calibri" w:hAnsi="Calibri"/>
          <w:color w:val="142033"/>
          <w:sz w:val="22"/>
        </w:rPr>
        <w:t>Public website: https://overseasuk.com, with dedicated UK university application, service-standard and institutional cooperation pages.</w:t>
      </w:r>
    </w:p>
    <w:p>
      <w:pPr>
        <w:pStyle w:val="ListBullet"/>
        <w:spacing w:after="80"/>
      </w:pPr>
      <w:r>
        <w:rPr>
          <w:rFonts w:ascii="Calibri" w:hAnsi="Calibri"/>
          <w:color w:val="142033"/>
          <w:sz w:val="22"/>
        </w:rPr>
        <w:t>Student audience includes Chinese university international programme students, international-school learners, pathway learners, undergraduate applicants and postgraduate applicants.</w:t>
      </w:r>
    </w:p>
    <w:p>
      <w:pPr>
        <w:pStyle w:val="ListBullet"/>
        <w:spacing w:after="80"/>
      </w:pPr>
      <w:r>
        <w:rPr>
          <w:rFonts w:ascii="Calibri" w:hAnsi="Calibri"/>
          <w:color w:val="142033"/>
          <w:sz w:val="22"/>
        </w:rPr>
        <w:t>Operational focus: careful document handling, realistic eligibility screening, admissions-facing communication and clear service boundaries.</w:t>
      </w:r>
    </w:p>
    <w:p>
      <w:pPr>
        <w:pStyle w:val="Heading1"/>
      </w:pPr>
      <w:r>
        <w:t>2. Application Support Scope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  <w:tblBorders>
          <w:top w:val="single" w:sz="6" w:space="0" w:color="DADCE0"/>
          <w:left w:val="single" w:sz="6" w:space="0" w:color="DADCE0"/>
          <w:bottom w:val="single" w:sz="6" w:space="0" w:color="DADCE0"/>
          <w:right w:val="single" w:sz="6" w:space="0" w:color="DADCE0"/>
          <w:insideH w:val="single" w:sz="6" w:space="0" w:color="DADCE0"/>
          <w:insideV w:val="single" w:sz="6" w:space="0" w:color="DADCE0"/>
        </w:tblBorders>
      </w:tblPr>
      <w:tblGrid>
        <w:gridCol w:w="2232"/>
        <w:gridCol w:w="4680"/>
        <w:gridCol w:w="2448"/>
      </w:tblGrid>
      <w:tr>
        <w:tc>
          <w:tcPr>
            <w:tcW w:type="dxa" w:w="2232"/>
            <w:vAlign w:val="center"/>
            <w:shd w:fill="F2F4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color w:val="061A2F"/>
                <w:sz w:val="21"/>
              </w:rPr>
              <w:t>Route</w:t>
            </w:r>
          </w:p>
        </w:tc>
        <w:tc>
          <w:tcPr>
            <w:tcW w:type="dxa" w:w="4680"/>
            <w:vAlign w:val="center"/>
            <w:shd w:fill="F2F4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color w:val="061A2F"/>
                <w:sz w:val="21"/>
              </w:rPr>
              <w:t>OTC support</w:t>
            </w:r>
          </w:p>
        </w:tc>
        <w:tc>
          <w:tcPr>
            <w:tcW w:type="dxa" w:w="2448"/>
            <w:vAlign w:val="center"/>
            <w:shd w:fill="F2F4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color w:val="061A2F"/>
                <w:sz w:val="21"/>
              </w:rPr>
              <w:t>Important boundary</w:t>
            </w:r>
          </w:p>
        </w:tc>
      </w:tr>
      <w:tr>
        <w:tc>
          <w:tcPr>
            <w:tcW w:type="dxa" w:w="2232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color w:val="2A3442"/>
                <w:sz w:val="20"/>
              </w:rPr>
              <w:t>Undergraduate / UCAS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color w:val="2A3442"/>
                <w:sz w:val="20"/>
              </w:rPr>
              <w:t>Course screening, document checklist, personal statement planning notes, references and deadline map.</w:t>
            </w:r>
          </w:p>
        </w:tc>
        <w:tc>
          <w:tcPr>
            <w:tcW w:type="dxa" w:w="2448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color w:val="2A3442"/>
                <w:sz w:val="20"/>
              </w:rPr>
              <w:t>UCAS or university rules remain controlling.</w:t>
            </w:r>
          </w:p>
        </w:tc>
      </w:tr>
      <w:tr>
        <w:tc>
          <w:tcPr>
            <w:tcW w:type="dxa" w:w="2232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color w:val="2A3442"/>
                <w:sz w:val="20"/>
              </w:rPr>
              <w:t>Direct applications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color w:val="2A3442"/>
                <w:sz w:val="20"/>
              </w:rPr>
              <w:t>Admissions enquiry drafting, application route planning, file naming and offer-condition follow-up.</w:t>
            </w:r>
          </w:p>
        </w:tc>
        <w:tc>
          <w:tcPr>
            <w:tcW w:type="dxa" w:w="2448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color w:val="2A3442"/>
                <w:sz w:val="20"/>
              </w:rPr>
              <w:t>Final admission decision remains with the university.</w:t>
            </w:r>
          </w:p>
        </w:tc>
      </w:tr>
      <w:tr>
        <w:tc>
          <w:tcPr>
            <w:tcW w:type="dxa" w:w="2232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color w:val="2A3442"/>
                <w:sz w:val="20"/>
              </w:rPr>
              <w:t>Year 2 / advanced entry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color w:val="2A3442"/>
                <w:sz w:val="20"/>
              </w:rPr>
              <w:t>Transcript review, module summaries, course descriptions, grading context and academic mapping notes.</w:t>
            </w:r>
          </w:p>
        </w:tc>
        <w:tc>
          <w:tcPr>
            <w:tcW w:type="dxa" w:w="2448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color w:val="2A3442"/>
                <w:sz w:val="20"/>
              </w:rPr>
              <w:t>Advanced standing and credit are discretionary.</w:t>
            </w:r>
          </w:p>
        </w:tc>
      </w:tr>
      <w:tr>
        <w:tc>
          <w:tcPr>
            <w:tcW w:type="dxa" w:w="2232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color w:val="2A3442"/>
                <w:sz w:val="20"/>
              </w:rPr>
              <w:t>Postgraduate taught</w:t>
            </w:r>
          </w:p>
        </w:tc>
        <w:tc>
          <w:tcPr>
            <w:tcW w:type="dxa" w:w="46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color w:val="2A3442"/>
                <w:sz w:val="20"/>
              </w:rPr>
              <w:t>Course portfolio, CV/PS planning, evidence organisation, English-readiness and timing review.</w:t>
            </w:r>
          </w:p>
        </w:tc>
        <w:tc>
          <w:tcPr>
            <w:tcW w:type="dxa" w:w="2448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color w:val="2A3442"/>
                <w:sz w:val="20"/>
              </w:rPr>
              <w:t>No guarantee of offer, scholarship or visa outcome.</w:t>
            </w:r>
          </w:p>
        </w:tc>
      </w:tr>
    </w:tbl>
    <w:p/>
    <w:p>
      <w:pPr>
        <w:pStyle w:val="Heading1"/>
      </w:pPr>
      <w:r>
        <w:t>3. China Programme and Advanced-Entry Capability</w:t>
      </w:r>
    </w:p>
    <w:p>
      <w:r>
        <w:t>OTC handles repeated enquiries from students studying in China-based international undergraduate programmes, including cases where the student has completed Year 1 or Year 2 modules and needs a UK receiving institution to advise whether Year 2, top-up, advanced standing or an alternative entry route can be considered.</w:t>
      </w:r>
    </w:p>
    <w:p>
      <w:pPr>
        <w:pStyle w:val="ListBullet"/>
        <w:spacing w:after="80"/>
      </w:pPr>
      <w:r>
        <w:rPr>
          <w:rFonts w:ascii="Calibri" w:hAnsi="Calibri"/>
          <w:color w:val="142033"/>
          <w:sz w:val="22"/>
        </w:rPr>
        <w:t>Student profile and target-course summary.</w:t>
      </w:r>
    </w:p>
    <w:p>
      <w:pPr>
        <w:pStyle w:val="ListBullet"/>
        <w:spacing w:after="80"/>
      </w:pPr>
      <w:r>
        <w:rPr>
          <w:rFonts w:ascii="Calibri" w:hAnsi="Calibri"/>
          <w:color w:val="142033"/>
          <w:sz w:val="22"/>
        </w:rPr>
        <w:t>Transcript, grading scale, English evidence and high-school record where requested.</w:t>
      </w:r>
    </w:p>
    <w:p>
      <w:pPr>
        <w:pStyle w:val="ListBullet"/>
        <w:spacing w:after="80"/>
      </w:pPr>
      <w:r>
        <w:rPr>
          <w:rFonts w:ascii="Calibri" w:hAnsi="Calibri"/>
          <w:color w:val="142033"/>
          <w:sz w:val="22"/>
        </w:rPr>
        <w:t>Course descriptions, module summaries, credit/contact-hour notes and timetable evidence where available.</w:t>
      </w:r>
    </w:p>
    <w:p>
      <w:pPr>
        <w:pStyle w:val="ListBullet"/>
        <w:spacing w:after="80"/>
      </w:pPr>
      <w:r>
        <w:rPr>
          <w:rFonts w:ascii="Calibri" w:hAnsi="Calibri"/>
          <w:color w:val="142033"/>
          <w:sz w:val="22"/>
        </w:rPr>
        <w:t>Module mapping against the intended UK course, with gaps flagged rather than hidden.</w:t>
      </w:r>
    </w:p>
    <w:p>
      <w:pPr>
        <w:pStyle w:val="ListBullet"/>
        <w:spacing w:after="80"/>
      </w:pPr>
      <w:r>
        <w:rPr>
          <w:rFonts w:ascii="Calibri" w:hAnsi="Calibri"/>
          <w:color w:val="142033"/>
          <w:sz w:val="22"/>
        </w:rPr>
        <w:t>Admissions enquiry wording that makes clear the university decides final entry level and suitability.</w:t>
      </w:r>
    </w:p>
    <w:p>
      <w:pPr>
        <w:pStyle w:val="Heading1"/>
      </w:pPr>
      <w:r>
        <w:t>4. Document Control and Compliance Standards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  <w:tblBorders>
          <w:top w:val="single" w:sz="6" w:space="0" w:color="DADCE0"/>
          <w:left w:val="single" w:sz="6" w:space="0" w:color="DADCE0"/>
          <w:bottom w:val="single" w:sz="6" w:space="0" w:color="DADCE0"/>
          <w:right w:val="single" w:sz="6" w:space="0" w:color="DADCE0"/>
          <w:insideH w:val="single" w:sz="6" w:space="0" w:color="DADCE0"/>
          <w:insideV w:val="single" w:sz="6" w:space="0" w:color="DADCE0"/>
        </w:tblBorders>
      </w:tblPr>
      <w:tblGrid>
        <w:gridCol w:w="2592"/>
        <w:gridCol w:w="6768"/>
      </w:tblGrid>
      <w:tr>
        <w:tc>
          <w:tcPr>
            <w:tcW w:type="dxa" w:w="2592"/>
            <w:vAlign w:val="center"/>
            <w:shd w:fill="F2F4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color w:val="061A2F"/>
                <w:sz w:val="21"/>
              </w:rPr>
              <w:t>Standard</w:t>
            </w:r>
          </w:p>
        </w:tc>
        <w:tc>
          <w:tcPr>
            <w:tcW w:type="dxa" w:w="6768"/>
            <w:vAlign w:val="center"/>
            <w:shd w:fill="F2F4F7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b/>
                <w:color w:val="061A2F"/>
                <w:sz w:val="21"/>
              </w:rPr>
              <w:t>OTC position</w:t>
            </w:r>
          </w:p>
        </w:tc>
      </w:tr>
      <w:tr>
        <w:tc>
          <w:tcPr>
            <w:tcW w:type="dxa" w:w="2592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color w:val="2A3442"/>
                <w:sz w:val="20"/>
              </w:rPr>
              <w:t>Student consent</w:t>
            </w:r>
          </w:p>
        </w:tc>
        <w:tc>
          <w:tcPr>
            <w:tcW w:type="dxa" w:w="6768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color w:val="2A3442"/>
                <w:sz w:val="20"/>
              </w:rPr>
              <w:t>OTC works from student instructions and records who may receive updates.</w:t>
            </w:r>
          </w:p>
        </w:tc>
      </w:tr>
      <w:tr>
        <w:tc>
          <w:tcPr>
            <w:tcW w:type="dxa" w:w="2592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color w:val="2A3442"/>
                <w:sz w:val="20"/>
              </w:rPr>
              <w:t>Document authenticity</w:t>
            </w:r>
          </w:p>
        </w:tc>
        <w:tc>
          <w:tcPr>
            <w:tcW w:type="dxa" w:w="6768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color w:val="2A3442"/>
                <w:sz w:val="20"/>
              </w:rPr>
              <w:t>OTC does not create, alter or endorse false transcripts, certificates, references, scores or employment evidence.</w:t>
            </w:r>
          </w:p>
        </w:tc>
      </w:tr>
      <w:tr>
        <w:tc>
          <w:tcPr>
            <w:tcW w:type="dxa" w:w="2592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color w:val="2A3442"/>
                <w:sz w:val="20"/>
              </w:rPr>
              <w:t>Data protection</w:t>
            </w:r>
          </w:p>
        </w:tc>
        <w:tc>
          <w:tcPr>
            <w:tcW w:type="dxa" w:w="6768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color w:val="2A3442"/>
                <w:sz w:val="20"/>
              </w:rPr>
              <w:t>Application files are used for the agreed purpose and shared only with relevant staff, advisers or institutions.</w:t>
            </w:r>
          </w:p>
        </w:tc>
      </w:tr>
      <w:tr>
        <w:tc>
          <w:tcPr>
            <w:tcW w:type="dxa" w:w="2592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color w:val="2A3442"/>
                <w:sz w:val="20"/>
              </w:rPr>
              <w:t>Academic integrity</w:t>
            </w:r>
          </w:p>
        </w:tc>
        <w:tc>
          <w:tcPr>
            <w:tcW w:type="dxa" w:w="6768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color w:val="2A3442"/>
                <w:sz w:val="20"/>
              </w:rPr>
              <w:t>OTC may help students plan and express their own application materials, but does not complete assessed work or impersonate students.</w:t>
            </w:r>
          </w:p>
        </w:tc>
      </w:tr>
      <w:tr>
        <w:tc>
          <w:tcPr>
            <w:tcW w:type="dxa" w:w="2592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color w:val="2A3442"/>
                <w:sz w:val="20"/>
              </w:rPr>
              <w:t>Admissions boundaries</w:t>
            </w:r>
          </w:p>
        </w:tc>
        <w:tc>
          <w:tcPr>
            <w:tcW w:type="dxa" w:w="6768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color w:val="2A3442"/>
                <w:sz w:val="20"/>
              </w:rPr>
              <w:t>OTC does not guarantee admission, scholarships, credit transfer, advanced standing, visa outcomes or appeal success.</w:t>
            </w:r>
          </w:p>
        </w:tc>
      </w:tr>
      <w:tr>
        <w:tc>
          <w:tcPr>
            <w:tcW w:type="dxa" w:w="2592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color w:val="2A3442"/>
                <w:sz w:val="20"/>
              </w:rPr>
              <w:t>Regulated advice</w:t>
            </w:r>
          </w:p>
        </w:tc>
        <w:tc>
          <w:tcPr>
            <w:tcW w:type="dxa" w:w="6768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color w:val="2A3442"/>
                <w:sz w:val="20"/>
              </w:rPr>
              <w:t>Immigration, legal, tax or regulated professional advice is referred to appropriately qualified professionals where required.</w:t>
            </w:r>
          </w:p>
        </w:tc>
      </w:tr>
    </w:tbl>
    <w:p/>
    <w:p>
      <w:pPr>
        <w:pStyle w:val="Heading1"/>
      </w:pPr>
      <w:r>
        <w:t>5. Partner Readiness</w:t>
      </w:r>
    </w:p>
    <w:p>
      <w:pPr>
        <w:pStyle w:val="ListBullet"/>
        <w:spacing w:after="80"/>
      </w:pPr>
      <w:r>
        <w:rPr>
          <w:rFonts w:ascii="Calibri" w:hAnsi="Calibri"/>
          <w:color w:val="142033"/>
          <w:sz w:val="22"/>
        </w:rPr>
        <w:t>OTC can follow university agent training, portal requirements, branding rules and reporting expectations where a formal arrangement is agreed.</w:t>
      </w:r>
    </w:p>
    <w:p>
      <w:pPr>
        <w:pStyle w:val="ListBullet"/>
        <w:spacing w:after="80"/>
      </w:pPr>
      <w:r>
        <w:rPr>
          <w:rFonts w:ascii="Calibri" w:hAnsi="Calibri"/>
          <w:color w:val="142033"/>
          <w:sz w:val="22"/>
        </w:rPr>
        <w:t>OTC can maintain enquiry logs, missing-document lists, deadline records and offer-condition tracking for institutional review.</w:t>
      </w:r>
    </w:p>
    <w:p>
      <w:pPr>
        <w:pStyle w:val="ListBullet"/>
        <w:spacing w:after="80"/>
      </w:pPr>
      <w:r>
        <w:rPr>
          <w:rFonts w:ascii="Calibri" w:hAnsi="Calibri"/>
          <w:color w:val="142033"/>
          <w:sz w:val="22"/>
        </w:rPr>
        <w:t>OTC can separate public application information from private commercial or representative terms.</w:t>
      </w:r>
    </w:p>
    <w:p>
      <w:pPr>
        <w:pStyle w:val="ListBullet"/>
        <w:spacing w:after="80"/>
      </w:pPr>
      <w:r>
        <w:rPr>
          <w:rFonts w:ascii="Calibri" w:hAnsi="Calibri"/>
          <w:color w:val="142033"/>
          <w:sz w:val="22"/>
        </w:rPr>
        <w:t>Unless a written agreement says otherwise, references to universities on OTC public pages are contextual information only and do not imply endorsement or official partnership.</w:t>
      </w:r>
    </w:p>
    <w:p>
      <w:pPr>
        <w:pStyle w:val="Heading1"/>
      </w:pPr>
      <w:r>
        <w:t>6. Cooperation Request</w:t>
      </w:r>
    </w:p>
    <w:p>
      <w:r>
        <w:t>OTC would welcome guidance on the university's official representative or agent onboarding process, including training requirements, application portal workflow, data-protection expectations, territory or student-category rules, and whether advanced-entry pre-checks may be handled through a defined channel.</w:t>
      </w:r>
    </w:p>
    <w:p>
      <w:pPr>
        <w:pStyle w:val="ListNumber"/>
        <w:spacing w:after="80"/>
      </w:pPr>
      <w:r>
        <w:rPr>
          <w:rFonts w:ascii="Calibri" w:hAnsi="Calibri"/>
          <w:color w:val="142033"/>
          <w:sz w:val="22"/>
        </w:rPr>
        <w:t>Confirm the university's agent or representative application process.</w:t>
      </w:r>
    </w:p>
    <w:p>
      <w:pPr>
        <w:pStyle w:val="ListNumber"/>
        <w:spacing w:after="80"/>
      </w:pPr>
      <w:r>
        <w:rPr>
          <w:rFonts w:ascii="Calibri" w:hAnsi="Calibri"/>
          <w:color w:val="142033"/>
          <w:sz w:val="22"/>
        </w:rPr>
        <w:t>Confirm whether OTC may submit or coordinate enquiries for China programme students needing advanced-entry review.</w:t>
      </w:r>
    </w:p>
    <w:p>
      <w:pPr>
        <w:pStyle w:val="ListNumber"/>
        <w:spacing w:after="80"/>
      </w:pPr>
      <w:r>
        <w:rPr>
          <w:rFonts w:ascii="Calibri" w:hAnsi="Calibri"/>
          <w:color w:val="142033"/>
          <w:sz w:val="22"/>
        </w:rPr>
        <w:t>Confirm required training, compliance checks, student-consent rules and admissions communication route.</w:t>
      </w:r>
    </w:p>
    <w:p>
      <w:pPr>
        <w:pStyle w:val="ListNumber"/>
        <w:spacing w:after="80"/>
      </w:pPr>
      <w:r>
        <w:rPr>
          <w:rFonts w:ascii="Calibri" w:hAnsi="Calibri"/>
          <w:color w:val="142033"/>
          <w:sz w:val="22"/>
        </w:rPr>
        <w:t>Agree how applications, document checks, offer conditions and follow-up communications should be recorded.</w:t>
      </w:r>
    </w:p>
    <w:p>
      <w:pPr>
        <w:pStyle w:val="Heading1"/>
      </w:pPr>
      <w:r>
        <w:t>Key Web Pages</w:t>
      </w:r>
    </w:p>
    <w:p>
      <w:pPr>
        <w:pStyle w:val="ListBullet"/>
        <w:spacing w:after="80"/>
      </w:pPr>
      <w:r>
        <w:rPr>
          <w:rFonts w:ascii="Calibri" w:hAnsi="Calibri"/>
          <w:color w:val="142033"/>
          <w:sz w:val="22"/>
        </w:rPr>
        <w:t>UK University Applications: https://overseasuk.com/university-applications/</w:t>
      </w:r>
    </w:p>
    <w:p>
      <w:pPr>
        <w:pStyle w:val="ListBullet"/>
        <w:spacing w:after="80"/>
      </w:pPr>
      <w:r>
        <w:rPr>
          <w:rFonts w:ascii="Calibri" w:hAnsi="Calibri"/>
          <w:color w:val="142033"/>
          <w:sz w:val="22"/>
        </w:rPr>
        <w:t>Application Service Standards: https://overseasuk.com/application-service-standards/</w:t>
      </w:r>
    </w:p>
    <w:p>
      <w:pPr>
        <w:pStyle w:val="ListBullet"/>
        <w:spacing w:after="80"/>
      </w:pPr>
      <w:r>
        <w:rPr>
          <w:rFonts w:ascii="Calibri" w:hAnsi="Calibri"/>
          <w:color w:val="142033"/>
          <w:sz w:val="22"/>
        </w:rPr>
        <w:t>Advanced Entry &amp; China Programme Support: https://overseasuk.com/advanced-entry-china-programmes/</w:t>
      </w:r>
    </w:p>
    <w:p>
      <w:pPr>
        <w:pStyle w:val="ListBullet"/>
        <w:spacing w:after="80"/>
      </w:pPr>
      <w:r>
        <w:rPr>
          <w:rFonts w:ascii="Calibri" w:hAnsi="Calibri"/>
          <w:color w:val="142033"/>
          <w:sz w:val="22"/>
        </w:rPr>
        <w:t>University Agent &amp; Institutional Cooperation: https://overseasuk.com/university-partnerships/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Calibri" w:hAnsi="Calibri"/>
        <w:color w:val="566070"/>
        <w:sz w:val="18"/>
      </w:rPr>
      <w:t>Overseas Tutorial Centre Ltd | overseasuk.com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Calibri" w:hAnsi="Calibri"/>
        <w:b/>
        <w:color w:val="566070"/>
        <w:sz w:val="18"/>
      </w:rPr>
      <w:t>OTC University Representative Capability Statement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64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 w:line="264" w:lineRule="auto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 w:line="264" w:lineRule="auto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 w:line="264" w:lineRule="auto"/>
      <w:outlineLvl w:val="2"/>
    </w:pPr>
    <w:rPr>
      <w:rFonts w:asciiTheme="majorHAnsi" w:eastAsiaTheme="majorEastAsia" w:hAnsiTheme="majorHAnsi" w:cstheme="majorBidi" w:ascii="Calibri" w:hAnsi="Calibr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20" w:line="264" w:lineRule="auto" w:before="0"/>
      <w:contextualSpacing/>
    </w:pPr>
    <w:rPr>
      <w:rFonts w:asciiTheme="majorHAnsi" w:eastAsiaTheme="majorEastAsia" w:hAnsiTheme="majorHAnsi" w:cstheme="majorBidi" w:ascii="Calibri" w:hAnsi="Calibri"/>
      <w:color w:val="061A2F"/>
      <w:spacing w:val="5"/>
      <w:kern w:val="28"/>
      <w:sz w:val="4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  <w:spacing w:before="0" w:after="280" w:line="264" w:lineRule="auto"/>
    </w:pPr>
    <w:rPr>
      <w:rFonts w:asciiTheme="majorHAnsi" w:eastAsiaTheme="majorEastAsia" w:hAnsiTheme="majorHAnsi" w:cstheme="majorBidi" w:ascii="Calibri" w:hAnsi="Calibri"/>
      <w:i/>
      <w:iCs/>
      <w:color w:val="566070"/>
      <w:spacing w:val="15"/>
      <w:sz w:val="2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